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Si usted tiene Medicaid, su cobertura de salud está activa.</w:t>
        <w:br w:type="textWrapping"/>
        <w:t xml:space="preserve">Las acciones federales recientes no afectan a Health First Colorado (el programa de Medicaid de Colorado) ni a CHP+. Usted todavía está cubierto y sus beneficios continuarán sin interrupción.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NI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BE110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BE110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BE1109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BE110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BE1109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BE110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E110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E110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E110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E110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E110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E110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E110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E1109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E110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E110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E110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E1109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BE110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E110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BE110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BE110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E110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E110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E110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E1109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E110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E1109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E110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ihdGFy8AxyupP/A4RW5KAyjtig==">CgMxLjA4AHIhMXppZW1LQ0hYOXUycDJQSldUeTBJX1kxU2FhR1d5Zk4y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2025-02-03T21:45:00Z</dcterms:created>
  <dc:creator>Lundy, Kristen</dc:creator>
</cp:coreProperties>
</file>