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E0EA" w14:textId="7D283028" w:rsidR="00AD2D24" w:rsidRDefault="00AD2D24"/>
    <w:p w14:paraId="74467208" w14:textId="77777777" w:rsidR="00AD2D24" w:rsidRDefault="00AD2D24">
      <w:pPr>
        <w:rPr>
          <w:rFonts w:ascii="Verdana" w:eastAsia="Verdana" w:hAnsi="Verdana" w:cs="Verdana"/>
        </w:rPr>
      </w:pPr>
    </w:p>
    <w:p w14:paraId="4D919504" w14:textId="77777777" w:rsidR="00AD2D24" w:rsidRDefault="00AD2D24">
      <w:pPr>
        <w:rPr>
          <w:rFonts w:ascii="Verdana" w:eastAsia="Verdana" w:hAnsi="Verdana" w:cs="Verdana"/>
        </w:rPr>
      </w:pPr>
    </w:p>
    <w:p w14:paraId="650E9AE2" w14:textId="77777777" w:rsidR="00AD2D24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[date]</w:t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>Case Number [Case ID]</w:t>
      </w:r>
    </w:p>
    <w:p w14:paraId="7C58C789" w14:textId="77777777" w:rsidR="00AD2D24" w:rsidRDefault="00AD2D24">
      <w:pPr>
        <w:rPr>
          <w:rFonts w:ascii="Verdana" w:eastAsia="Verdana" w:hAnsi="Verdana" w:cs="Verdana"/>
        </w:rPr>
      </w:pPr>
    </w:p>
    <w:p w14:paraId="74EBC123" w14:textId="77777777" w:rsidR="00AD2D24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[HOH First Name, HOH Last Name]</w:t>
      </w:r>
    </w:p>
    <w:p w14:paraId="135D4AFD" w14:textId="77777777" w:rsidR="00AD2D24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[HH Mailing Address Line 1]</w:t>
      </w:r>
    </w:p>
    <w:p w14:paraId="7D127558" w14:textId="77777777" w:rsidR="00AD2D24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[HH mailing Address Line 2]</w:t>
      </w:r>
    </w:p>
    <w:p w14:paraId="482C9BF7" w14:textId="77777777" w:rsidR="00AD2D24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[HH mailing city, HH mailing state, HH mailing zip+4]</w:t>
      </w:r>
    </w:p>
    <w:p w14:paraId="72683B41" w14:textId="77777777" w:rsidR="00AD2D24" w:rsidRDefault="00AD2D24">
      <w:pPr>
        <w:rPr>
          <w:rFonts w:ascii="Verdana" w:eastAsia="Verdana" w:hAnsi="Verdana" w:cs="Verdana"/>
        </w:rPr>
      </w:pPr>
    </w:p>
    <w:p w14:paraId="23B6155D" w14:textId="77777777" w:rsidR="00AD2D24" w:rsidRDefault="00AD2D24">
      <w:pPr>
        <w:rPr>
          <w:rFonts w:ascii="Verdana" w:eastAsia="Verdana" w:hAnsi="Verdana" w:cs="Verdana"/>
          <w:sz w:val="24"/>
          <w:szCs w:val="24"/>
        </w:rPr>
      </w:pPr>
    </w:p>
    <w:p w14:paraId="1B5E683B" w14:textId="77777777" w:rsidR="00AD2D24" w:rsidRDefault="00000000">
      <w:pPr>
        <w:jc w:val="center"/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Cover All Coloradans benefits are changing</w:t>
      </w:r>
    </w:p>
    <w:p w14:paraId="0FD151F0" w14:textId="77777777" w:rsidR="00AD2D24" w:rsidRDefault="00AD2D24">
      <w:pPr>
        <w:rPr>
          <w:rFonts w:ascii="Verdana" w:eastAsia="Verdana" w:hAnsi="Verdana" w:cs="Verdana"/>
          <w:sz w:val="24"/>
          <w:szCs w:val="24"/>
        </w:rPr>
      </w:pPr>
    </w:p>
    <w:p w14:paraId="6C4127FF" w14:textId="096EDD30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Dear [HOH First Name, HOH Last Name],</w:t>
      </w:r>
    </w:p>
    <w:p w14:paraId="1AA84A3D" w14:textId="77777777" w:rsidR="00AD2D24" w:rsidRDefault="00AD2D24">
      <w:pPr>
        <w:rPr>
          <w:rFonts w:ascii="Verdana" w:eastAsia="Verdana" w:hAnsi="Verdana" w:cs="Verdana"/>
          <w:sz w:val="24"/>
          <w:szCs w:val="24"/>
        </w:rPr>
      </w:pPr>
    </w:p>
    <w:p w14:paraId="4534CF84" w14:textId="77777777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Someone in your household is currently enrolled in Health First Colorado (Colorado’s Medicaid program) or Child Health Plan </w:t>
      </w:r>
      <w:r>
        <w:rPr>
          <w:rFonts w:ascii="Verdana" w:eastAsia="Verdana" w:hAnsi="Verdana" w:cs="Verdana"/>
          <w:i/>
          <w:iCs/>
          <w:sz w:val="24"/>
          <w:szCs w:val="24"/>
        </w:rPr>
        <w:t>Plus</w:t>
      </w:r>
      <w:r>
        <w:rPr>
          <w:rFonts w:ascii="Verdana" w:eastAsia="Verdana" w:hAnsi="Verdana" w:cs="Verdana"/>
          <w:sz w:val="24"/>
          <w:szCs w:val="24"/>
        </w:rPr>
        <w:t xml:space="preserve"> (CHP+) through a program called Cover All Coloradans (CAC).</w:t>
      </w:r>
    </w:p>
    <w:p w14:paraId="1609CE20" w14:textId="77777777" w:rsidR="00AD2D24" w:rsidRDefault="00AD2D24">
      <w:pPr>
        <w:rPr>
          <w:rFonts w:ascii="Verdana" w:eastAsia="Verdana" w:hAnsi="Verdana" w:cs="Verdana"/>
          <w:sz w:val="24"/>
          <w:szCs w:val="24"/>
        </w:rPr>
      </w:pPr>
    </w:p>
    <w:p w14:paraId="11356CEE" w14:textId="77777777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There are changes to the CAC program that may impact the following members: </w:t>
      </w:r>
    </w:p>
    <w:p w14:paraId="49A0AEFE" w14:textId="77777777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[Child 1]</w:t>
      </w:r>
    </w:p>
    <w:p w14:paraId="34661985" w14:textId="77777777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[Child 2]</w:t>
      </w:r>
    </w:p>
    <w:p w14:paraId="4BEDD596" w14:textId="77777777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[Child 3]</w:t>
      </w:r>
    </w:p>
    <w:p w14:paraId="7E27C643" w14:textId="77777777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[Child 4]</w:t>
      </w:r>
    </w:p>
    <w:p w14:paraId="56EDF252" w14:textId="77777777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[Child 5]</w:t>
      </w:r>
    </w:p>
    <w:p w14:paraId="017628E8" w14:textId="77777777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[Child 6]</w:t>
      </w:r>
    </w:p>
    <w:p w14:paraId="2D0BFC16" w14:textId="77777777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[Child 7]</w:t>
      </w:r>
    </w:p>
    <w:p w14:paraId="3FD2AD7D" w14:textId="77777777" w:rsidR="00AD2D24" w:rsidRDefault="00AD2D24">
      <w:pPr>
        <w:rPr>
          <w:rFonts w:ascii="Verdana" w:eastAsia="Verdana" w:hAnsi="Verdana" w:cs="Verdana"/>
          <w:sz w:val="24"/>
          <w:szCs w:val="24"/>
        </w:rPr>
      </w:pPr>
    </w:p>
    <w:p w14:paraId="10565D0E" w14:textId="77777777" w:rsidR="00AD2D24" w:rsidRDefault="00AD2D24">
      <w:pPr>
        <w:rPr>
          <w:rFonts w:ascii="Verdana" w:eastAsia="Verdana" w:hAnsi="Verdana" w:cs="Verdana"/>
          <w:sz w:val="24"/>
          <w:szCs w:val="24"/>
        </w:rPr>
      </w:pPr>
    </w:p>
    <w:p w14:paraId="5C3CAC90" w14:textId="77777777" w:rsidR="00AD2D24" w:rsidRDefault="00000000">
      <w:pPr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What is changing?</w:t>
      </w:r>
    </w:p>
    <w:p w14:paraId="1EB4FF49" w14:textId="77777777" w:rsidR="00AD2D24" w:rsidRDefault="00AD2D24">
      <w:pPr>
        <w:rPr>
          <w:rFonts w:ascii="Verdana" w:eastAsia="Verdana" w:hAnsi="Verdana" w:cs="Verdana"/>
          <w:b/>
          <w:bCs/>
          <w:sz w:val="24"/>
          <w:szCs w:val="24"/>
        </w:rPr>
      </w:pPr>
    </w:p>
    <w:p w14:paraId="20B2475F" w14:textId="77777777" w:rsidR="00AD2D24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Children ages 0-18 enrolled in CAC will have an annual dental benefit limit of $1,100. This means DentaQuest, the company that provides dental services to CAC members, will pay for up to $1,100 of covered services a year.</w:t>
      </w:r>
    </w:p>
    <w:p w14:paraId="7268D5A9" w14:textId="77777777" w:rsidR="00AD2D24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Pregnant and postpartum members do </w:t>
      </w:r>
      <w:r>
        <w:rPr>
          <w:rFonts w:ascii="Verdana" w:eastAsia="Verdana" w:hAnsi="Verdana" w:cs="Verdana"/>
          <w:b/>
          <w:bCs/>
          <w:sz w:val="24"/>
          <w:szCs w:val="24"/>
        </w:rPr>
        <w:t xml:space="preserve">not </w:t>
      </w:r>
      <w:r>
        <w:rPr>
          <w:rFonts w:ascii="Verdana" w:eastAsia="Verdana" w:hAnsi="Verdana" w:cs="Verdana"/>
          <w:sz w:val="24"/>
          <w:szCs w:val="24"/>
        </w:rPr>
        <w:t>have the $1,100 annual limit.</w:t>
      </w:r>
    </w:p>
    <w:p w14:paraId="3AD99F8B" w14:textId="77777777" w:rsidR="00AD2D24" w:rsidRDefault="00AD2D24">
      <w:pPr>
        <w:spacing w:after="160" w:line="278" w:lineRule="auto"/>
        <w:ind w:left="720"/>
        <w:rPr>
          <w:rFonts w:ascii="Verdana" w:eastAsia="Verdana" w:hAnsi="Verdana" w:cs="Verdana"/>
          <w:sz w:val="24"/>
          <w:szCs w:val="24"/>
        </w:rPr>
      </w:pPr>
    </w:p>
    <w:p w14:paraId="49CA67BE" w14:textId="77777777" w:rsidR="00AD2D24" w:rsidRDefault="00AD2D24">
      <w:pPr>
        <w:spacing w:after="160" w:line="278" w:lineRule="auto"/>
        <w:ind w:left="720"/>
        <w:rPr>
          <w:rFonts w:ascii="Verdana" w:eastAsia="Verdana" w:hAnsi="Verdana" w:cs="Verdana"/>
          <w:sz w:val="24"/>
          <w:szCs w:val="24"/>
        </w:rPr>
      </w:pPr>
    </w:p>
    <w:p w14:paraId="74FAD277" w14:textId="77777777" w:rsidR="00AD2D24" w:rsidRDefault="00AD2D24">
      <w:pPr>
        <w:spacing w:after="160" w:line="278" w:lineRule="auto"/>
        <w:ind w:left="720"/>
        <w:rPr>
          <w:rFonts w:ascii="Verdana" w:eastAsia="Verdana" w:hAnsi="Verdana" w:cs="Verdana"/>
          <w:sz w:val="24"/>
          <w:szCs w:val="24"/>
        </w:rPr>
      </w:pPr>
    </w:p>
    <w:p w14:paraId="55691564" w14:textId="77777777" w:rsidR="00AD2D24" w:rsidRDefault="00000000">
      <w:pPr>
        <w:numPr>
          <w:ilvl w:val="0"/>
          <w:numId w:val="1"/>
        </w:numPr>
        <w:spacing w:after="160" w:line="278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Orthodontics (braces) will not be covered under the CAC dental benefit.</w:t>
      </w:r>
    </w:p>
    <w:p w14:paraId="3B668867" w14:textId="77777777" w:rsidR="00AD2D24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All other covered services and how often you can receive them remain the same.</w:t>
      </w:r>
    </w:p>
    <w:p w14:paraId="678BA08C" w14:textId="77777777" w:rsidR="00AD2D24" w:rsidRDefault="00AD2D24">
      <w:pPr>
        <w:rPr>
          <w:rFonts w:ascii="Verdana" w:eastAsia="Verdana" w:hAnsi="Verdana" w:cs="Verdana"/>
          <w:sz w:val="24"/>
          <w:szCs w:val="24"/>
        </w:rPr>
      </w:pPr>
    </w:p>
    <w:p w14:paraId="729AFF7C" w14:textId="77777777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When you reach your annual dental benefit limit, additional dental services will not be covered until your benefit year resets. The benefit year is July-June.</w:t>
      </w:r>
    </w:p>
    <w:p w14:paraId="3F483614" w14:textId="77777777" w:rsidR="00AD2D24" w:rsidRDefault="00AD2D24">
      <w:pPr>
        <w:rPr>
          <w:rFonts w:ascii="Verdana" w:eastAsia="Verdana" w:hAnsi="Verdana" w:cs="Verdana"/>
          <w:sz w:val="24"/>
          <w:szCs w:val="24"/>
        </w:rPr>
      </w:pPr>
    </w:p>
    <w:p w14:paraId="504F64D2" w14:textId="77777777" w:rsidR="00AD2D24" w:rsidRDefault="00000000">
      <w:pPr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What to do next</w:t>
      </w:r>
    </w:p>
    <w:p w14:paraId="10DBB80A" w14:textId="77777777" w:rsidR="00AD2D24" w:rsidRDefault="00AD2D24">
      <w:pPr>
        <w:rPr>
          <w:rFonts w:ascii="Verdana" w:eastAsia="Verdana" w:hAnsi="Verdana" w:cs="Verdana"/>
          <w:b/>
          <w:bCs/>
          <w:sz w:val="24"/>
          <w:szCs w:val="24"/>
        </w:rPr>
      </w:pPr>
    </w:p>
    <w:p w14:paraId="583012C0" w14:textId="77777777" w:rsidR="00AD2D24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Work with your dental provider to plan care for your child. Ask questions to understand how this change may affect your child’s treatment.</w:t>
      </w:r>
    </w:p>
    <w:p w14:paraId="474C35A7" w14:textId="77777777" w:rsidR="00AD2D24" w:rsidRDefault="00AD2D24">
      <w:pPr>
        <w:rPr>
          <w:rFonts w:ascii="Verdana" w:eastAsia="Verdana" w:hAnsi="Verdana" w:cs="Verdana"/>
          <w:sz w:val="24"/>
          <w:szCs w:val="24"/>
        </w:rPr>
      </w:pPr>
    </w:p>
    <w:p w14:paraId="51B322B5" w14:textId="77777777" w:rsidR="00AD2D24" w:rsidRDefault="00000000">
      <w:pPr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Questions?</w:t>
      </w:r>
    </w:p>
    <w:p w14:paraId="604747D4" w14:textId="77777777" w:rsidR="00AD2D24" w:rsidRDefault="00AD2D24">
      <w:pPr>
        <w:rPr>
          <w:rFonts w:ascii="Verdana" w:eastAsia="Verdana" w:hAnsi="Verdana" w:cs="Verdana"/>
          <w:sz w:val="24"/>
          <w:szCs w:val="24"/>
        </w:rPr>
      </w:pPr>
    </w:p>
    <w:p w14:paraId="299B7432" w14:textId="77777777" w:rsidR="00AD2D24" w:rsidRDefault="00000000">
      <w:pPr>
        <w:spacing w:after="160" w:line="278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Call DentaQuest member services at 1-888-307-6561 (State Relay: 711), Monday through Friday, 8 a.m. to 5 p.m. Mountain Time.</w:t>
      </w:r>
    </w:p>
    <w:p w14:paraId="4BC57662" w14:textId="77777777" w:rsidR="00AD2D24" w:rsidRDefault="00000000">
      <w:pPr>
        <w:spacing w:after="160" w:line="278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For more information, go to </w:t>
      </w:r>
      <w:hyperlink r:id="rId7">
        <w:r>
          <w:rPr>
            <w:rFonts w:ascii="Verdana" w:eastAsia="Verdana" w:hAnsi="Verdana" w:cs="Verdana"/>
            <w:color w:val="467886"/>
            <w:sz w:val="24"/>
            <w:szCs w:val="24"/>
            <w:u w:val="single"/>
          </w:rPr>
          <w:t>DentaQuest.com</w:t>
        </w:r>
      </w:hyperlink>
      <w:r>
        <w:rPr>
          <w:rFonts w:ascii="Verdana" w:eastAsia="Verdana" w:hAnsi="Verdana" w:cs="Verdana"/>
          <w:sz w:val="24"/>
          <w:szCs w:val="24"/>
        </w:rPr>
        <w:t xml:space="preserve"> </w:t>
      </w:r>
    </w:p>
    <w:p w14:paraId="715B6DBB" w14:textId="77777777" w:rsidR="00AD2D24" w:rsidRDefault="00AD2D24"/>
    <w:p w14:paraId="5B8DA0DC" w14:textId="77777777" w:rsidR="00AD2D24" w:rsidRDefault="00AD2D24"/>
    <w:p w14:paraId="6360F08F" w14:textId="77777777" w:rsidR="00AD2D24" w:rsidRDefault="00AD2D24"/>
    <w:sectPr w:rsidR="00AD2D24">
      <w:headerReference w:type="default" r:id="rId8"/>
      <w:pgSz w:w="12240" w:h="15840"/>
      <w:pgMar w:top="18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6A30B" w14:textId="77777777" w:rsidR="00B40755" w:rsidRDefault="00B40755">
      <w:pPr>
        <w:spacing w:line="240" w:lineRule="auto"/>
      </w:pPr>
      <w:r>
        <w:separator/>
      </w:r>
    </w:p>
  </w:endnote>
  <w:endnote w:type="continuationSeparator" w:id="0">
    <w:p w14:paraId="496B48DC" w14:textId="77777777" w:rsidR="00B40755" w:rsidRDefault="00B40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8B431357-7183-447A-BF75-7762AE5DA2E4}"/>
    <w:embedBold r:id="rId2" w:fontKey="{33A326A5-242F-4588-9769-786FFB32F8C0}"/>
    <w:embedItalic r:id="rId3" w:fontKey="{7746F1DB-3E87-4908-B434-9A5D86317DD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8024465-EEF8-4310-B33A-FD314D1615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E5AF2EF-2C6A-433B-BDF8-BC00FD763E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DAA27" w14:textId="77777777" w:rsidR="00B40755" w:rsidRDefault="00B40755">
      <w:pPr>
        <w:spacing w:line="240" w:lineRule="auto"/>
      </w:pPr>
      <w:r>
        <w:separator/>
      </w:r>
    </w:p>
  </w:footnote>
  <w:footnote w:type="continuationSeparator" w:id="0">
    <w:p w14:paraId="4F253B0B" w14:textId="77777777" w:rsidR="00B40755" w:rsidRDefault="00B407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FA3D" w14:textId="77777777" w:rsidR="00AD2D24" w:rsidRDefault="00000000">
    <w:r>
      <w:rPr>
        <w:noProof/>
      </w:rPr>
      <w:drawing>
        <wp:inline distT="114300" distB="114300" distL="114300" distR="114300" wp14:anchorId="74036FED" wp14:editId="42E9C132">
          <wp:extent cx="1508760" cy="528066"/>
          <wp:effectExtent l="0" t="0" r="0" b="0"/>
          <wp:docPr id="1" name="image1.png" descr="DentaQuest, A Sun Life compan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ntaQuest, A Sun Life compan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8760" cy="5280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114300" distB="114300" distL="114300" distR="114300" wp14:anchorId="1CA57CCC" wp14:editId="13B16B97">
          <wp:extent cx="1508760" cy="499777"/>
          <wp:effectExtent l="0" t="0" r="0" b="0"/>
          <wp:docPr id="2" name="image2.jpg" descr="Health First Colorado, Colorado's Medicaid progra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ealth First Colorado, Colorado's Medicaid program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8760" cy="4997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16BDC"/>
    <w:multiLevelType w:val="multilevel"/>
    <w:tmpl w:val="574EC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57299E"/>
    <w:multiLevelType w:val="multilevel"/>
    <w:tmpl w:val="2F82F9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0D56BE"/>
    <w:multiLevelType w:val="multilevel"/>
    <w:tmpl w:val="FDD2E4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74059053">
    <w:abstractNumId w:val="1"/>
  </w:num>
  <w:num w:numId="2" w16cid:durableId="1033265386">
    <w:abstractNumId w:val="2"/>
  </w:num>
  <w:num w:numId="3" w16cid:durableId="6588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D24"/>
    <w:rsid w:val="00A1757D"/>
    <w:rsid w:val="00AD2D24"/>
    <w:rsid w:val="00B40755"/>
    <w:rsid w:val="00DE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4E1B4"/>
  <w15:docId w15:val="{3FAC4516-1327-4D0A-9C95-55301A90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75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57D"/>
  </w:style>
  <w:style w:type="paragraph" w:styleId="Footer">
    <w:name w:val="footer"/>
    <w:basedOn w:val="Normal"/>
    <w:link w:val="FooterChar"/>
    <w:uiPriority w:val="99"/>
    <w:unhideWhenUsed/>
    <w:rsid w:val="00A175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entaques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1375</Characters>
  <Application>Microsoft Office Word</Application>
  <DocSecurity>0</DocSecurity>
  <Lines>11</Lines>
  <Paragraphs>3</Paragraphs>
  <ScaleCrop>false</ScaleCrop>
  <Company>State of Colorado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2</cp:revision>
  <dcterms:created xsi:type="dcterms:W3CDTF">2026-06-17T22:54:00Z</dcterms:created>
  <dcterms:modified xsi:type="dcterms:W3CDTF">2026-06-17T22:55:00Z</dcterms:modified>
</cp:coreProperties>
</file>