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468.0" w:type="dxa"/>
        <w:jc w:val="left"/>
        <w:tblBorders>
          <w:top w:color="000000" w:space="0" w:sz="4" w:val="single"/>
          <w:left w:color="000000" w:space="0" w:sz="4" w:val="single"/>
          <w:bottom w:color="000000" w:space="0" w:sz="4" w:val="single"/>
          <w:right w:color="000000" w:space="0" w:sz="4" w:val="single"/>
        </w:tblBorders>
        <w:tblLayout w:type="fixed"/>
        <w:tblLook w:val="0000"/>
      </w:tblPr>
      <w:tblGrid>
        <w:gridCol w:w="5958"/>
        <w:gridCol w:w="3510"/>
        <w:tblGridChange w:id="0">
          <w:tblGrid>
            <w:gridCol w:w="5958"/>
            <w:gridCol w:w="3510"/>
          </w:tblGrid>
        </w:tblGridChange>
      </w:tblGrid>
      <w:tr>
        <w:trPr>
          <w:cantSplit w:val="1"/>
          <w:tblHeader w:val="0"/>
        </w:trPr>
        <w:tc>
          <w:tcPr>
            <w:vMerge w:val="restart"/>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BEFORE THE OFFICE OF APPEALS IN THE COLORADO DEPARTMENT OF HEALTH CARE POLICY AND FINANCING</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1570 Grant Street, Denver, CO  80203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Phone (303) 866-5654; Fax (303) 866-4411</w:t>
            </w:r>
          </w:p>
          <w:p w:rsidR="00000000" w:rsidDel="00000000" w:rsidP="00000000" w:rsidRDefault="00000000" w:rsidRPr="00000000" w14:paraId="00000005">
            <w:pPr>
              <w:pBdr>
                <w:bottom w:color="000000" w:space="1" w:sz="4" w:val="single"/>
              </w:pBdr>
              <w:rPr>
                <w:rFonts w:ascii="Verdana" w:cs="Verdana" w:eastAsia="Verdana" w:hAnsi="Verdana"/>
              </w:rPr>
            </w:pPr>
            <w:r w:rsidDel="00000000" w:rsidR="00000000" w:rsidRPr="00000000">
              <w:rPr>
                <w:rtl w:val="0"/>
              </w:rPr>
            </w:r>
          </w:p>
          <w:p w:rsidR="00000000" w:rsidDel="00000000" w:rsidP="00000000" w:rsidRDefault="00000000" w:rsidRPr="00000000" w14:paraId="00000006">
            <w:pPr>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07">
            <w:pPr>
              <w:rPr>
                <w:rFonts w:ascii="Verdana" w:cs="Verdana" w:eastAsia="Verdana" w:hAnsi="Verdana"/>
                <w:b w:val="1"/>
                <w:bCs w:val="1"/>
              </w:rPr>
            </w:pPr>
            <w:r w:rsidDel="00000000" w:rsidR="00000000" w:rsidRPr="00000000">
              <w:rPr>
                <w:rFonts w:ascii="Verdana" w:cs="Verdana" w:eastAsia="Verdana" w:hAnsi="Verdana"/>
                <w:b w:val="1"/>
                <w:bCs w:val="1"/>
                <w:rtl w:val="0"/>
              </w:rPr>
              <w:t xml:space="preserve">SRICHAND OAD, </w:t>
            </w:r>
          </w:p>
          <w:p w:rsidR="00000000" w:rsidDel="00000000" w:rsidP="00000000" w:rsidRDefault="00000000" w:rsidRPr="00000000" w14:paraId="0000000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Appellant,</w:t>
            </w:r>
          </w:p>
          <w:p w:rsidR="00000000" w:rsidDel="00000000" w:rsidP="00000000" w:rsidRDefault="00000000" w:rsidRPr="00000000" w14:paraId="00000009">
            <w:pPr>
              <w:rPr>
                <w:rFonts w:ascii="Verdana" w:cs="Verdana" w:eastAsia="Verdana" w:hAnsi="Verdana"/>
              </w:rPr>
            </w:pPr>
            <w:r w:rsidDel="00000000" w:rsidR="00000000" w:rsidRPr="00000000">
              <w:rPr>
                <w:rtl w:val="0"/>
              </w:rPr>
            </w:r>
          </w:p>
          <w:p w:rsidR="00000000" w:rsidDel="00000000" w:rsidP="00000000" w:rsidRDefault="00000000" w:rsidRPr="00000000" w14:paraId="0000000A">
            <w:pPr>
              <w:rPr>
                <w:rFonts w:ascii="Verdana" w:cs="Verdana" w:eastAsia="Verdana" w:hAnsi="Verdana"/>
              </w:rPr>
            </w:pPr>
            <w:r w:rsidDel="00000000" w:rsidR="00000000" w:rsidRPr="00000000">
              <w:rPr>
                <w:rFonts w:ascii="Verdana" w:cs="Verdana" w:eastAsia="Verdana" w:hAnsi="Verdana"/>
                <w:rtl w:val="0"/>
              </w:rPr>
              <w:t xml:space="preserve">vs.</w:t>
            </w:r>
          </w:p>
          <w:p w:rsidR="00000000" w:rsidDel="00000000" w:rsidP="00000000" w:rsidRDefault="00000000" w:rsidRPr="00000000" w14:paraId="0000000B">
            <w:pPr>
              <w:rPr>
                <w:rFonts w:ascii="Verdana" w:cs="Verdana" w:eastAsia="Verdana" w:hAnsi="Verdana"/>
              </w:rPr>
            </w:pPr>
            <w:r w:rsidDel="00000000" w:rsidR="00000000" w:rsidRPr="00000000">
              <w:rPr>
                <w:rtl w:val="0"/>
              </w:rPr>
            </w:r>
          </w:p>
          <w:p w:rsidR="00000000" w:rsidDel="00000000" w:rsidP="00000000" w:rsidRDefault="00000000" w:rsidRPr="00000000" w14:paraId="0000000C">
            <w:pPr>
              <w:tabs>
                <w:tab w:val="left" w:leader="none" w:pos="-720"/>
              </w:tabs>
              <w:rPr>
                <w:rFonts w:ascii="Verdana" w:cs="Verdana" w:eastAsia="Verdana" w:hAnsi="Verdana"/>
                <w:b w:val="1"/>
                <w:bCs w:val="1"/>
              </w:rPr>
            </w:pPr>
            <w:r w:rsidDel="00000000" w:rsidR="00000000" w:rsidRPr="00000000">
              <w:rPr>
                <w:rFonts w:ascii="Verdana" w:cs="Verdana" w:eastAsia="Verdana" w:hAnsi="Verdana"/>
                <w:b w:val="1"/>
                <w:bCs w:val="1"/>
                <w:rtl w:val="0"/>
              </w:rPr>
              <w:t xml:space="preserve">STATE DEPARTMENT OF HEALTH CARE POLICY &amp; FINANCING, </w:t>
            </w:r>
          </w:p>
          <w:p w:rsidR="00000000" w:rsidDel="00000000" w:rsidP="00000000" w:rsidRDefault="00000000" w:rsidRPr="00000000" w14:paraId="0000000D">
            <w:pPr>
              <w:tabs>
                <w:tab w:val="left" w:leader="none" w:pos="-720"/>
              </w:tabs>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Appellee.</w:t>
            </w:r>
          </w:p>
          <w:p w:rsidR="00000000" w:rsidDel="00000000" w:rsidP="00000000" w:rsidRDefault="00000000" w:rsidRPr="00000000" w14:paraId="0000000E">
            <w:pPr>
              <w:tabs>
                <w:tab w:val="left" w:leader="none" w:pos="-720"/>
              </w:tabs>
              <w:rPr>
                <w:rFonts w:ascii="Verdana" w:cs="Verdana" w:eastAsia="Verdana" w:hAnsi="Verdana"/>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0F">
            <w:pPr>
              <w:jc w:val="center"/>
              <w:rPr>
                <w:rFonts w:ascii="Verdana" w:cs="Verdana" w:eastAsia="Verdana" w:hAnsi="Verdana"/>
              </w:rPr>
            </w:pPr>
            <w:r w:rsidDel="00000000" w:rsidR="00000000" w:rsidRPr="00000000">
              <w:rPr>
                <w:rtl w:val="0"/>
              </w:rPr>
            </w:r>
          </w:p>
          <w:p w:rsidR="00000000" w:rsidDel="00000000" w:rsidP="00000000" w:rsidRDefault="00000000" w:rsidRPr="00000000" w14:paraId="00000010">
            <w:pPr>
              <w:jc w:val="center"/>
              <w:rPr>
                <w:rFonts w:ascii="Verdana" w:cs="Verdana" w:eastAsia="Verdana" w:hAnsi="Verdana"/>
              </w:rPr>
            </w:pPr>
            <w:r w:rsidDel="00000000" w:rsidR="00000000" w:rsidRPr="00000000">
              <w:rPr>
                <w:rtl w:val="0"/>
              </w:rPr>
            </w:r>
          </w:p>
          <w:p w:rsidR="00000000" w:rsidDel="00000000" w:rsidP="00000000" w:rsidRDefault="00000000" w:rsidRPr="00000000" w14:paraId="00000011">
            <w:pPr>
              <w:jc w:val="center"/>
              <w:rPr>
                <w:rFonts w:ascii="Verdana" w:cs="Verdana" w:eastAsia="Verdana" w:hAnsi="Verdana"/>
              </w:rPr>
            </w:pPr>
            <w:r w:rsidDel="00000000" w:rsidR="00000000" w:rsidRPr="00000000">
              <w:rPr>
                <w:rtl w:val="0"/>
              </w:rPr>
            </w:r>
          </w:p>
          <w:p w:rsidR="00000000" w:rsidDel="00000000" w:rsidP="00000000" w:rsidRDefault="00000000" w:rsidRPr="00000000" w14:paraId="00000012">
            <w:pPr>
              <w:jc w:val="center"/>
              <w:rPr>
                <w:rFonts w:ascii="Verdana" w:cs="Verdana" w:eastAsia="Verdana" w:hAnsi="Verdana"/>
              </w:rPr>
            </w:pPr>
            <w:r w:rsidDel="00000000" w:rsidR="00000000" w:rsidRPr="00000000">
              <w:rPr>
                <w:rtl w:val="0"/>
              </w:rPr>
            </w:r>
          </w:p>
          <w:p w:rsidR="00000000" w:rsidDel="00000000" w:rsidP="00000000" w:rsidRDefault="00000000" w:rsidRPr="00000000" w14:paraId="00000013">
            <w:pPr>
              <w:jc w:val="center"/>
              <w:rPr>
                <w:rFonts w:ascii="Verdana" w:cs="Verdana" w:eastAsia="Verdana" w:hAnsi="Verdana"/>
              </w:rPr>
            </w:pPr>
            <w:r w:rsidDel="00000000" w:rsidR="00000000" w:rsidRPr="00000000">
              <w:rPr>
                <w:rtl w:val="0"/>
              </w:rPr>
            </w:r>
          </w:p>
          <w:p w:rsidR="00000000" w:rsidDel="00000000" w:rsidP="00000000" w:rsidRDefault="00000000" w:rsidRPr="00000000" w14:paraId="00000014">
            <w:pPr>
              <w:jc w:val="center"/>
              <w:rPr>
                <w:rFonts w:ascii="Verdana" w:cs="Verdana" w:eastAsia="Verdana" w:hAnsi="Verdana"/>
              </w:rPr>
            </w:pPr>
            <w:r w:rsidDel="00000000" w:rsidR="00000000" w:rsidRPr="00000000">
              <w:rPr>
                <w:rtl w:val="0"/>
              </w:rPr>
            </w:r>
          </w:p>
          <w:p w:rsidR="00000000" w:rsidDel="00000000" w:rsidP="00000000" w:rsidRDefault="00000000" w:rsidRPr="00000000" w14:paraId="00000015">
            <w:pPr>
              <w:jc w:val="center"/>
              <w:rPr>
                <w:rFonts w:ascii="Verdana" w:cs="Verdana" w:eastAsia="Verdana" w:hAnsi="Verdana"/>
                <w:b w:val="1"/>
                <w:bCs w:val="1"/>
              </w:rPr>
            </w:pPr>
            <w:r w:rsidDel="00000000" w:rsidR="00000000" w:rsidRPr="00000000">
              <w:rPr>
                <w:rtl w:val="0"/>
              </w:rPr>
            </w:r>
          </w:p>
        </w:tc>
      </w:tr>
      <w:tr>
        <w:trPr>
          <w:cantSplit w:val="1"/>
          <w:tblHeader w:val="0"/>
        </w:trPr>
        <w:tc>
          <w:tcPr>
            <w:vMerge w:val="continue"/>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rPr>
                <w:rFonts w:ascii="Verdana" w:cs="Verdana" w:eastAsia="Verdana" w:hAnsi="Verdana"/>
              </w:rPr>
            </w:pPr>
            <w:r w:rsidDel="00000000" w:rsidR="00000000" w:rsidRPr="00000000">
              <w:rPr>
                <w:rtl w:val="0"/>
              </w:rPr>
            </w:r>
          </w:p>
          <w:p w:rsidR="00000000" w:rsidDel="00000000" w:rsidP="00000000" w:rsidRDefault="00000000" w:rsidRPr="00000000" w14:paraId="00000018">
            <w:pPr>
              <w:rPr>
                <w:rFonts w:ascii="Verdana" w:cs="Verdana" w:eastAsia="Verdana" w:hAnsi="Verdana"/>
                <w:sz w:val="22"/>
                <w:szCs w:val="22"/>
              </w:rPr>
            </w:pPr>
            <w:r w:rsidDel="00000000" w:rsidR="00000000" w:rsidRPr="00000000">
              <w:rPr>
                <w:rFonts w:ascii="Verdana" w:cs="Verdana" w:eastAsia="Verdana" w:hAnsi="Verdana"/>
                <w:b w:val="1"/>
                <w:bCs w:val="1"/>
                <w:sz w:val="22"/>
                <w:szCs w:val="22"/>
                <w:rtl w:val="0"/>
              </w:rPr>
              <w:t xml:space="preserve">CASE NUMBER:</w:t>
            </w:r>
            <w:r w:rsidDel="00000000" w:rsidR="00000000" w:rsidRPr="00000000">
              <w:rPr>
                <w:rtl w:val="0"/>
              </w:rPr>
            </w:r>
          </w:p>
          <w:p w:rsidR="00000000" w:rsidDel="00000000" w:rsidP="00000000" w:rsidRDefault="00000000" w:rsidRPr="00000000" w14:paraId="00000019">
            <w:pPr>
              <w:rPr>
                <w:rFonts w:ascii="Verdana" w:cs="Verdana" w:eastAsia="Verdana" w:hAnsi="Verdana"/>
              </w:rPr>
            </w:pPr>
            <w:r w:rsidDel="00000000" w:rsidR="00000000" w:rsidRPr="00000000">
              <w:rPr>
                <w:rtl w:val="0"/>
              </w:rPr>
            </w:r>
          </w:p>
          <w:p w:rsidR="00000000" w:rsidDel="00000000" w:rsidP="00000000" w:rsidRDefault="00000000" w:rsidRPr="00000000" w14:paraId="0000001A">
            <w:pPr>
              <w:rPr>
                <w:rFonts w:ascii="Verdana" w:cs="Verdana" w:eastAsia="Verdana" w:hAnsi="Verdana"/>
              </w:rPr>
            </w:pPr>
            <w:r w:rsidDel="00000000" w:rsidR="00000000" w:rsidRPr="00000000">
              <w:rPr>
                <w:rFonts w:ascii="Verdana" w:cs="Verdana" w:eastAsia="Verdana" w:hAnsi="Verdana"/>
                <w:rtl w:val="0"/>
              </w:rPr>
              <w:t xml:space="preserve"> SHP 2025-0461</w:t>
            </w:r>
          </w:p>
        </w:tc>
      </w:tr>
      <w:tr>
        <w:trPr>
          <w:cantSplit w:val="1"/>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keepNext w:val="0"/>
              <w:keepLines w:val="0"/>
              <w:pageBreakBefore w:val="0"/>
              <w:widowControl w:val="1"/>
              <w:pBdr>
                <w:top w:space="0" w:sz="0" w:val="nil"/>
                <w:left w:space="0" w:sz="0" w:val="nil"/>
                <w:bottom w:color="000000" w:space="0" w:sz="0" w:val="none"/>
                <w:right w:space="0" w:sz="0" w:val="nil"/>
                <w:between w:space="0" w:sz="0" w:val="nil"/>
              </w:pBdr>
              <w:shd w:fill="auto" w:val="clear"/>
              <w:spacing w:after="120" w:before="120" w:line="240" w:lineRule="auto"/>
              <w:ind w:left="0" w:right="0" w:firstLine="0"/>
              <w:jc w:val="center"/>
              <w:rPr>
                <w:rFonts w:ascii="Verdana" w:cs="Verdana" w:eastAsia="Verdana" w:hAnsi="Verdana"/>
                <w:b w:val="1"/>
                <w:bCs w:val="1"/>
                <w:i w:val="0"/>
                <w:iCs w:val="0"/>
                <w:smallCaps w:val="1"/>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1"/>
                <w:strike w:val="0"/>
                <w:color w:val="000000"/>
                <w:sz w:val="24"/>
                <w:szCs w:val="24"/>
                <w:u w:val="none"/>
                <w:shd w:fill="auto" w:val="clear"/>
                <w:vertAlign w:val="baseline"/>
                <w:rtl w:val="0"/>
              </w:rPr>
              <w:t xml:space="preserve">FINAL AGENCY DECISION</w:t>
            </w:r>
          </w:p>
        </w:tc>
      </w:tr>
    </w:tbl>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Appellant appealed the denial of a prior authorization request (PAR) for a Durable Medical Equipment (DME), an ul</w:t>
      </w:r>
      <w:r w:rsidDel="00000000" w:rsidR="00000000" w:rsidRPr="00000000">
        <w:rPr>
          <w:rFonts w:ascii="Verdana" w:cs="Verdana" w:eastAsia="Verdana" w:hAnsi="Verdana"/>
          <w:rtl w:val="0"/>
        </w:rPr>
        <w:t xml:space="preserve">tralightweight wheelchair and accessories, including a power assist system to propel the wheelchair.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On</w:t>
      </w:r>
      <w:r w:rsidDel="00000000" w:rsidR="00000000" w:rsidRPr="00000000">
        <w:rPr>
          <w:rFonts w:ascii="Verdana" w:cs="Verdana" w:eastAsia="Verdana" w:hAnsi="Verdana"/>
          <w:rtl w:val="0"/>
        </w:rPr>
        <w:t xml:space="preserve"> July 29, 2025</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Administrative Law Judge (ALJ) </w:t>
      </w:r>
      <w:r w:rsidDel="00000000" w:rsidR="00000000" w:rsidRPr="00000000">
        <w:rPr>
          <w:rFonts w:ascii="Verdana" w:cs="Verdana" w:eastAsia="Verdana" w:hAnsi="Verdana"/>
          <w:rtl w:val="0"/>
        </w:rPr>
        <w:t xml:space="preserve">Garrett Anderson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of the Office of Administrative Courts held a hearing in this matter.  In the Initial Decision issued on </w:t>
      </w:r>
      <w:r w:rsidDel="00000000" w:rsidR="00000000" w:rsidRPr="00000000">
        <w:rPr>
          <w:rFonts w:ascii="Verdana" w:cs="Verdana" w:eastAsia="Verdana" w:hAnsi="Verdana"/>
          <w:rtl w:val="0"/>
        </w:rPr>
        <w:t xml:space="preserve">August 12, 2025</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ALJ </w:t>
      </w:r>
      <w:r w:rsidDel="00000000" w:rsidR="00000000" w:rsidRPr="00000000">
        <w:rPr>
          <w:rFonts w:ascii="Verdana" w:cs="Verdana" w:eastAsia="Verdana" w:hAnsi="Verdana"/>
          <w:rtl w:val="0"/>
        </w:rPr>
        <w:t xml:space="preserve">Anderson</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concluded the PAR was properly denied.</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The Office of Appeals mailed the Initial Decision to all parties on </w:t>
      </w:r>
      <w:r w:rsidDel="00000000" w:rsidR="00000000" w:rsidRPr="00000000">
        <w:rPr>
          <w:rFonts w:ascii="Verdana" w:cs="Verdana" w:eastAsia="Verdana" w:hAnsi="Verdana"/>
          <w:rtl w:val="0"/>
        </w:rPr>
        <w:t xml:space="preserve">August 22, 2025</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Parties were provided fifteen (15) calendar days, plus three (3) calendar days for mailing from the date the decision was mailed, to file exceptions to the Initial Decision.  10 CCR 2505-10, Section 8.057.9.B.</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superscript"/>
        </w:rPr>
        <w:footnoteReference w:customMarkFollows="0" w:id="0"/>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No exceptions were filed.</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The Office of Appeals reviewed the record consisting of all papers and requests filed in the proceeding and the Initial Decision before entering this Final Agency Decision.  Section 8.057.10.B.  The Office of Appeals is required to determine whether the Initial Decision properly interprets and applies the rules of the Department or relevant statutes, and whether the findings of fact and conclusions of law support the Initial Decision.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STANDARD OF REVIEW</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jc w:val="both"/>
        <w:rPr>
          <w:rFonts w:ascii="Verdana" w:cs="Verdana" w:eastAsia="Verdana" w:hAnsi="Verdana"/>
        </w:rPr>
      </w:pPr>
      <w:r w:rsidDel="00000000" w:rsidR="00000000" w:rsidRPr="00000000">
        <w:rPr>
          <w:rFonts w:ascii="Verdana" w:cs="Verdana" w:eastAsia="Verdana" w:hAnsi="Verdana"/>
          <w:rtl w:val="0"/>
        </w:rPr>
        <w:t xml:space="preserve">The standard of review which the Department’s Office of Appeals must apply in this case is set forth in Colorado’s Administrative Procedure Act.  C.R.S. §§ 24-4-101 to 108.  Findings of evidentiary fact made by the ALJ shall not be set aside unless they are contrary to the weight of the evidence. C.R.S. § 24-4-105(15)(b).  In general, evidentiary facts are the detailed factual or historical findings upon which a legal determination rests.  </w:t>
      </w:r>
      <w:r w:rsidDel="00000000" w:rsidR="00000000" w:rsidRPr="00000000">
        <w:rPr>
          <w:rFonts w:ascii="Verdana" w:cs="Verdana" w:eastAsia="Verdana" w:hAnsi="Verdana"/>
          <w:i w:val="1"/>
          <w:iCs w:val="1"/>
          <w:rtl w:val="0"/>
        </w:rPr>
        <w:t xml:space="preserve">State Board of Medical Examiners v. McCroskey,</w:t>
      </w:r>
      <w:r w:rsidDel="00000000" w:rsidR="00000000" w:rsidRPr="00000000">
        <w:rPr>
          <w:rFonts w:ascii="Verdana" w:cs="Verdana" w:eastAsia="Verdana" w:hAnsi="Verdana"/>
          <w:rtl w:val="0"/>
        </w:rPr>
        <w:t xml:space="preserve"> 880 P.2d 1188, 1193 (Colo. 1994).</w:t>
      </w:r>
    </w:p>
    <w:p w:rsidR="00000000" w:rsidDel="00000000" w:rsidP="00000000" w:rsidRDefault="00000000" w:rsidRPr="00000000" w14:paraId="00000027">
      <w:pPr>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28">
      <w:pPr>
        <w:jc w:val="both"/>
        <w:rPr>
          <w:rFonts w:ascii="Verdana" w:cs="Verdana" w:eastAsia="Verdana" w:hAnsi="Verdana"/>
          <w:i w:val="1"/>
          <w:iCs w:val="1"/>
        </w:rPr>
      </w:pPr>
      <w:r w:rsidDel="00000000" w:rsidR="00000000" w:rsidRPr="00000000">
        <w:rPr>
          <w:rFonts w:ascii="Verdana" w:cs="Verdana" w:eastAsia="Verdana" w:hAnsi="Verdana"/>
          <w:rtl w:val="0"/>
        </w:rPr>
        <w:t xml:space="preserve">With respect to conclusions of ultimate fact, however, an agency may substitute its judgment for that of the ALJ as long as the agency’s conclusions have a reasonable basis in law and are supported by substantial evidence in the record.  Ultimate conclusions of fact involve a conclusion of law, or a mixed question of fact and law, and settle the rights and liabilities of the parties. Unlike evidentiary facts, ultimate conclusions of facts are usually phrased in the language of the controlling statute and legal standards.  </w:t>
      </w:r>
      <w:r w:rsidDel="00000000" w:rsidR="00000000" w:rsidRPr="00000000">
        <w:rPr>
          <w:rFonts w:ascii="Verdana" w:cs="Verdana" w:eastAsia="Verdana" w:hAnsi="Verdana"/>
          <w:i w:val="1"/>
          <w:iCs w:val="1"/>
          <w:rtl w:val="0"/>
        </w:rPr>
        <w:t xml:space="preserve">Id.</w:t>
      </w:r>
    </w:p>
    <w:p w:rsidR="00000000" w:rsidDel="00000000" w:rsidP="00000000" w:rsidRDefault="00000000" w:rsidRPr="00000000" w14:paraId="00000029">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2A">
      <w:pPr>
        <w:jc w:val="center"/>
        <w:rPr>
          <w:rFonts w:ascii="Verdana" w:cs="Verdana" w:eastAsia="Verdana" w:hAnsi="Verdana"/>
        </w:rPr>
      </w:pPr>
      <w:r w:rsidDel="00000000" w:rsidR="00000000" w:rsidRPr="00000000">
        <w:rPr>
          <w:rFonts w:ascii="Verdana" w:cs="Verdana" w:eastAsia="Verdana" w:hAnsi="Verdana"/>
          <w:b w:val="1"/>
          <w:bCs w:val="1"/>
          <w:rtl w:val="0"/>
        </w:rPr>
        <w:t xml:space="preserve">DISCUSSION</w:t>
      </w:r>
      <w:r w:rsidDel="00000000" w:rsidR="00000000" w:rsidRPr="00000000">
        <w:rPr>
          <w:rtl w:val="0"/>
        </w:rPr>
      </w:r>
    </w:p>
    <w:p w:rsidR="00000000" w:rsidDel="00000000" w:rsidP="00000000" w:rsidRDefault="00000000" w:rsidRPr="00000000" w14:paraId="0000002B">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2C">
      <w:pPr>
        <w:jc w:val="both"/>
        <w:rPr>
          <w:rFonts w:ascii="Verdana" w:cs="Verdana" w:eastAsia="Verdana" w:hAnsi="Verdana"/>
        </w:rPr>
      </w:pPr>
      <w:r w:rsidDel="00000000" w:rsidR="00000000" w:rsidRPr="00000000">
        <w:rPr>
          <w:rFonts w:ascii="Verdana" w:cs="Verdana" w:eastAsia="Verdana" w:hAnsi="Verdana"/>
          <w:rtl w:val="0"/>
        </w:rPr>
        <w:t xml:space="preserve">Appellant wanted to obtain authorization for a previously denied DME.  After an evidentiary hearing, the ALJ concluded the evidence did not establish that the requested item met the medical necessity requirements in Section 8.076.1(8) for Medicaid coverage.  As a result, the PAR was properly denied. </w:t>
      </w:r>
    </w:p>
    <w:p w:rsidR="00000000" w:rsidDel="00000000" w:rsidP="00000000" w:rsidRDefault="00000000" w:rsidRPr="00000000" w14:paraId="0000002D">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2E">
      <w:pPr>
        <w:jc w:val="both"/>
        <w:rPr>
          <w:rFonts w:ascii="Verdana" w:cs="Verdana" w:eastAsia="Verdana" w:hAnsi="Verdana"/>
        </w:rPr>
      </w:pPr>
      <w:r w:rsidDel="00000000" w:rsidR="00000000" w:rsidRPr="00000000">
        <w:rPr>
          <w:rFonts w:ascii="Verdana" w:cs="Verdana" w:eastAsia="Verdana" w:hAnsi="Verdana"/>
          <w:rtl w:val="0"/>
        </w:rPr>
        <w:t xml:space="preserve">The Office of Appeals finds the Initial Decision supported by the findings of fact and applicable law.  </w:t>
      </w:r>
    </w:p>
    <w:p w:rsidR="00000000" w:rsidDel="00000000" w:rsidP="00000000" w:rsidRDefault="00000000" w:rsidRPr="00000000" w14:paraId="0000002F">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30">
      <w:pPr>
        <w:jc w:val="center"/>
        <w:rPr>
          <w:rFonts w:ascii="Verdana" w:cs="Verdana" w:eastAsia="Verdana" w:hAnsi="Verdana"/>
        </w:rPr>
      </w:pPr>
      <w:r w:rsidDel="00000000" w:rsidR="00000000" w:rsidRPr="00000000">
        <w:rPr>
          <w:rFonts w:ascii="Verdana" w:cs="Verdana" w:eastAsia="Verdana" w:hAnsi="Verdana"/>
          <w:b w:val="1"/>
          <w:bCs w:val="1"/>
          <w:rtl w:val="0"/>
        </w:rPr>
        <w:t xml:space="preserve">FINAL AGENCY DECISION</w:t>
      </w:r>
      <w:r w:rsidDel="00000000" w:rsidR="00000000" w:rsidRPr="00000000">
        <w:rPr>
          <w:rtl w:val="0"/>
        </w:rPr>
      </w:r>
    </w:p>
    <w:p w:rsidR="00000000" w:rsidDel="00000000" w:rsidP="00000000" w:rsidRDefault="00000000" w:rsidRPr="00000000" w14:paraId="00000031">
      <w:pPr>
        <w:jc w:val="center"/>
        <w:rPr>
          <w:rFonts w:ascii="Verdana" w:cs="Verdana" w:eastAsia="Verdana" w:hAnsi="Verdana"/>
        </w:rPr>
      </w:pPr>
      <w:r w:rsidDel="00000000" w:rsidR="00000000" w:rsidRPr="00000000">
        <w:rPr>
          <w:rtl w:val="0"/>
        </w:rPr>
      </w:r>
    </w:p>
    <w:p w:rsidR="00000000" w:rsidDel="00000000" w:rsidP="00000000" w:rsidRDefault="00000000" w:rsidRPr="00000000" w14:paraId="00000032">
      <w:pPr>
        <w:jc w:val="both"/>
        <w:rPr>
          <w:rFonts w:ascii="Verdana" w:cs="Verdana" w:eastAsia="Verdana" w:hAnsi="Verdana"/>
        </w:rPr>
      </w:pPr>
      <w:r w:rsidDel="00000000" w:rsidR="00000000" w:rsidRPr="00000000">
        <w:rPr>
          <w:rFonts w:ascii="Verdana" w:cs="Verdana" w:eastAsia="Verdana" w:hAnsi="Verdana"/>
          <w:rtl w:val="0"/>
        </w:rPr>
        <w:t xml:space="preserve">The Office of Appeals affirms the Initial Decision in this appeal.    </w:t>
      </w:r>
    </w:p>
    <w:p w:rsidR="00000000" w:rsidDel="00000000" w:rsidP="00000000" w:rsidRDefault="00000000" w:rsidRPr="00000000" w14:paraId="00000033">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34">
      <w:pPr>
        <w:jc w:val="both"/>
        <w:rPr>
          <w:rFonts w:ascii="Verdana" w:cs="Verdana" w:eastAsia="Verdana" w:hAnsi="Verdana"/>
        </w:rPr>
      </w:pPr>
      <w:r w:rsidDel="00000000" w:rsidR="00000000" w:rsidRPr="00000000">
        <w:rPr>
          <w:rFonts w:ascii="Verdana" w:cs="Verdana" w:eastAsia="Verdana" w:hAnsi="Verdana"/>
          <w:rtl w:val="0"/>
        </w:rPr>
        <w:t xml:space="preserve">Any party who objects to this Final Agency Decision may seek reconsideration of the Final Agency Decision by filing a motion for reconsideration with the Office of Appeals.  The motion for reconsideration shall be filed, in writing, with the Office of Appeals within 20 calendar days of the date that this Final Agency Decision is mailed to the parties.  Section 8.057.13 </w:t>
      </w:r>
      <w:r w:rsidDel="00000000" w:rsidR="00000000" w:rsidRPr="00000000">
        <w:rPr>
          <w:rFonts w:ascii="Verdana" w:cs="Verdana" w:eastAsia="Verdana" w:hAnsi="Verdana"/>
          <w:i w:val="1"/>
          <w:iCs w:val="1"/>
          <w:rtl w:val="0"/>
        </w:rPr>
        <w:t xml:space="preserve">et seq</w:t>
      </w:r>
      <w:r w:rsidDel="00000000" w:rsidR="00000000" w:rsidRPr="00000000">
        <w:rPr>
          <w:rFonts w:ascii="Verdana" w:cs="Verdana" w:eastAsia="Verdana" w:hAnsi="Verdana"/>
          <w:rtl w:val="0"/>
        </w:rPr>
        <w:t xml:space="preserve">. The motion must state specific grounds for reconsideration of the Final Agency Decision.  The Office of Appeals may grant reconsideration only upon a showing of good cause for failure to file written Exceptions to the Initial Decision, or upon a showing that the Final Agency Decision is based upon a clear or plain error of fact or law. </w:t>
      </w:r>
      <w:r w:rsidDel="00000000" w:rsidR="00000000" w:rsidRPr="00000000">
        <w:rPr>
          <w:rFonts w:ascii="Verdana" w:cs="Verdana" w:eastAsia="Verdana" w:hAnsi="Verdana"/>
          <w:i w:val="1"/>
          <w:iCs w:val="1"/>
          <w:rtl w:val="0"/>
        </w:rPr>
        <w:t xml:space="preserve"> Id</w:t>
      </w:r>
      <w:r w:rsidDel="00000000" w:rsidR="00000000" w:rsidRPr="00000000">
        <w:rPr>
          <w:rFonts w:ascii="Verdana" w:cs="Verdana" w:eastAsia="Verdana" w:hAnsi="Verdana"/>
          <w:rtl w:val="0"/>
        </w:rPr>
        <w:t xml:space="preserve">.</w:t>
      </w:r>
    </w:p>
    <w:p w:rsidR="00000000" w:rsidDel="00000000" w:rsidP="00000000" w:rsidRDefault="00000000" w:rsidRPr="00000000" w14:paraId="00000035">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36">
      <w:pPr>
        <w:jc w:val="both"/>
        <w:rPr>
          <w:rFonts w:ascii="Verdana" w:cs="Verdana" w:eastAsia="Verdana" w:hAnsi="Verdana"/>
        </w:rPr>
      </w:pPr>
      <w:r w:rsidDel="00000000" w:rsidR="00000000" w:rsidRPr="00000000">
        <w:rPr>
          <w:rFonts w:ascii="Verdana" w:cs="Verdana" w:eastAsia="Verdana" w:hAnsi="Verdana"/>
          <w:rtl w:val="0"/>
        </w:rPr>
        <w:t xml:space="preserve">This Final Agency Decision shall be effective and binding upon all parties on the third day after the date set forth in the certificate of mailing, even if the third day falls on Saturday, Sunday, or a legal holiday.  Section 8.057.11.B.  The Appellant may commence an action for judicial review of the Final Agency Decision, pursuant to the provisions of C.R.S. § 24-4-106(4). Any judicial action must be filed with the appropriate State District Court within thirty-five (35) calendar days after this Final Agency Decision becomes effective.  </w:t>
      </w:r>
      <w:r w:rsidDel="00000000" w:rsidR="00000000" w:rsidRPr="00000000">
        <w:rPr>
          <w:rFonts w:ascii="Verdana" w:cs="Verdana" w:eastAsia="Verdana" w:hAnsi="Verdana"/>
          <w:i w:val="1"/>
          <w:iCs w:val="1"/>
          <w:rtl w:val="0"/>
        </w:rPr>
        <w:t xml:space="preserve">Id.</w:t>
      </w:r>
      <w:r w:rsidDel="00000000" w:rsidR="00000000" w:rsidRPr="00000000">
        <w:rPr>
          <w:rFonts w:ascii="Verdana" w:cs="Verdana" w:eastAsia="Verdana" w:hAnsi="Verdana"/>
          <w:rtl w:val="0"/>
        </w:rPr>
        <w:t xml:space="preserve">  However, failure to file Exceptions to the Initial Decision results in a waiver of the right to judicial review, except with respect to any portion of the Final Agency Decision that differs from the Initial Decision.  C.R.S. § 24-4-105(14)(c). </w:t>
      </w:r>
    </w:p>
    <w:p w:rsidR="00000000" w:rsidDel="00000000" w:rsidP="00000000" w:rsidRDefault="00000000" w:rsidRPr="00000000" w14:paraId="00000037">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38">
      <w:pPr>
        <w:jc w:val="both"/>
        <w:rPr>
          <w:rFonts w:ascii="Verdana" w:cs="Verdana" w:eastAsia="Verdana" w:hAnsi="Verdana"/>
        </w:rPr>
      </w:pPr>
      <w:r w:rsidDel="00000000" w:rsidR="00000000" w:rsidRPr="00000000">
        <w:rPr>
          <w:rFonts w:ascii="Verdana" w:cs="Verdana" w:eastAsia="Verdana" w:hAnsi="Verdana"/>
          <w:rtl w:val="0"/>
        </w:rPr>
        <w:t xml:space="preserve">Dated:  July 10, 2026</w:t>
      </w:r>
    </w:p>
    <w:p w:rsidR="00000000" w:rsidDel="00000000" w:rsidP="00000000" w:rsidRDefault="00000000" w:rsidRPr="00000000" w14:paraId="00000039">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3A">
      <w:pPr>
        <w:jc w:val="both"/>
        <w:rPr>
          <w:rFonts w:ascii="Verdana" w:cs="Verdana" w:eastAsia="Verdana" w:hAnsi="Verdana"/>
          <w:u w:val="single"/>
        </w:rPr>
      </w:pPr>
      <w:r w:rsidDel="00000000" w:rsidR="00000000" w:rsidRPr="00000000">
        <w:rPr>
          <w:rFonts w:ascii="Verdana" w:cs="Verdana" w:eastAsia="Verdana" w:hAnsi="Verdana"/>
          <w:rtl w:val="0"/>
        </w:rPr>
        <w:tab/>
        <w:tab/>
        <w:tab/>
        <w:tab/>
        <w:tab/>
      </w:r>
      <w:r w:rsidDel="00000000" w:rsidR="00000000" w:rsidRPr="00000000">
        <w:rPr>
          <w:rFonts w:ascii="Verdana" w:cs="Verdana" w:eastAsia="Verdana" w:hAnsi="Verdana"/>
          <w:u w:val="single"/>
          <w:rtl w:val="0"/>
        </w:rPr>
        <w:tab/>
        <w:tab/>
      </w:r>
      <w:r w:rsidDel="00000000" w:rsidR="00000000" w:rsidRPr="00000000">
        <w:rPr>
          <w:rFonts w:ascii="Pacifico" w:cs="Pacifico" w:eastAsia="Pacifico" w:hAnsi="Pacifico"/>
          <w:u w:val="single"/>
          <w:rtl w:val="0"/>
        </w:rPr>
        <w:t xml:space="preserve">Julia Goebel</w:t>
      </w:r>
      <w:r w:rsidDel="00000000" w:rsidR="00000000" w:rsidRPr="00000000">
        <w:rPr>
          <w:rFonts w:ascii="Verdana" w:cs="Verdana" w:eastAsia="Verdana" w:hAnsi="Verdana"/>
          <w:u w:val="single"/>
          <w:rtl w:val="0"/>
        </w:rPr>
        <w:tab/>
        <w:tab/>
        <w:tab/>
      </w:r>
    </w:p>
    <w:p w:rsidR="00000000" w:rsidDel="00000000" w:rsidP="00000000" w:rsidRDefault="00000000" w:rsidRPr="00000000" w14:paraId="0000003B">
      <w:pPr>
        <w:ind w:left="3600" w:firstLine="0"/>
        <w:rPr>
          <w:rFonts w:ascii="Verdana" w:cs="Verdana" w:eastAsia="Verdana" w:hAnsi="Verdana"/>
        </w:rPr>
      </w:pPr>
      <w:r w:rsidDel="00000000" w:rsidR="00000000" w:rsidRPr="00000000">
        <w:rPr>
          <w:rFonts w:ascii="Verdana" w:cs="Verdana" w:eastAsia="Verdana" w:hAnsi="Verdana"/>
          <w:rtl w:val="0"/>
        </w:rPr>
        <w:t xml:space="preserve">Julia Goebel</w:t>
      </w:r>
    </w:p>
    <w:p w:rsidR="00000000" w:rsidDel="00000000" w:rsidP="00000000" w:rsidRDefault="00000000" w:rsidRPr="00000000" w14:paraId="0000003C">
      <w:pPr>
        <w:ind w:left="3600" w:firstLine="0"/>
        <w:rPr>
          <w:rFonts w:ascii="Verdana" w:cs="Verdana" w:eastAsia="Verdana" w:hAnsi="Verdana"/>
        </w:rPr>
      </w:pPr>
      <w:r w:rsidDel="00000000" w:rsidR="00000000" w:rsidRPr="00000000">
        <w:rPr>
          <w:rFonts w:ascii="Verdana" w:cs="Verdana" w:eastAsia="Verdana" w:hAnsi="Verdana"/>
          <w:rtl w:val="0"/>
        </w:rPr>
        <w:t xml:space="preserve">Office of Appeals</w:t>
      </w:r>
    </w:p>
    <w:p w:rsidR="00000000" w:rsidDel="00000000" w:rsidP="00000000" w:rsidRDefault="00000000" w:rsidRPr="00000000" w14:paraId="0000003D">
      <w:pPr>
        <w:ind w:left="3600" w:firstLine="0"/>
        <w:rPr>
          <w:rFonts w:ascii="Verdana" w:cs="Verdana" w:eastAsia="Verdana" w:hAnsi="Verdana"/>
        </w:rPr>
      </w:pPr>
      <w:r w:rsidDel="00000000" w:rsidR="00000000" w:rsidRPr="00000000">
        <w:rPr>
          <w:rFonts w:ascii="Verdana" w:cs="Verdana" w:eastAsia="Verdana" w:hAnsi="Verdana"/>
          <w:rtl w:val="0"/>
        </w:rPr>
        <w:t xml:space="preserve">Department of Health Care Policy &amp; Financing</w:t>
      </w:r>
    </w:p>
    <w:sectPr>
      <w:headerReference r:id="rId8" w:type="default"/>
      <w:pgSz w:h="15840" w:w="12240" w:orient="portrait"/>
      <w:pgMar w:bottom="1152" w:top="1296"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Verdana"/>
  <w:font w:name="Times New Roman"/>
  <w:font w:name="Pacifico">
    <w:embedRegular w:fontKey="{00000000-0000-0000-0000-000000000000}" r:id="rId1"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The Department’s rules are hereafter referred to by Section numbers only.</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2985"/>
      </w:tabs>
      <w:spacing w:after="0" w:before="0" w:line="24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Case No. SHP 20</w:t>
    </w:r>
    <w:r w:rsidDel="00000000" w:rsidR="00000000" w:rsidRPr="00000000">
      <w:rPr>
        <w:rFonts w:ascii="Verdana" w:cs="Verdana" w:eastAsia="Verdana" w:hAnsi="Verdana"/>
        <w:sz w:val="20"/>
        <w:szCs w:val="20"/>
        <w:rtl w:val="0"/>
      </w:rPr>
      <w:t xml:space="preserve">25-0461</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ab/>
    </w:r>
  </w:p>
  <w:p w:rsidR="00000000" w:rsidDel="00000000" w:rsidP="00000000" w:rsidRDefault="00000000" w:rsidRPr="00000000" w14:paraId="00000040">
    <w:pPr>
      <w:keepNext w:val="0"/>
      <w:keepLines w:val="0"/>
      <w:pageBreakBefore w:val="0"/>
      <w:widowControl w:val="1"/>
      <w:pBdr>
        <w:top w:space="0" w:sz="0" w:val="nil"/>
        <w:left w:space="0" w:sz="0" w:val="nil"/>
        <w:bottom w:color="000000" w:space="1" w:sz="4" w:val="single"/>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Page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b w:val="1"/>
      <w:bCs w:val="1"/>
    </w:rPr>
  </w:style>
  <w:style w:type="paragraph" w:styleId="Heading2">
    <w:name w:val="heading 2"/>
    <w:basedOn w:val="Normal"/>
    <w:next w:val="Normal"/>
    <w:pPr>
      <w:keepNext w:val="1"/>
      <w:spacing w:after="240" w:lineRule="auto"/>
    </w:pPr>
    <w:rPr>
      <w:b w:val="1"/>
      <w:bCs w:val="1"/>
      <w:smallCaps w:val="1"/>
    </w:rPr>
  </w:style>
  <w:style w:type="paragraph" w:styleId="Heading3">
    <w:name w:val="heading 3"/>
    <w:basedOn w:val="Normal"/>
    <w:next w:val="Normal"/>
    <w:pPr>
      <w:spacing w:after="240" w:lineRule="auto"/>
    </w:pPr>
    <w:rPr/>
  </w:style>
  <w:style w:type="paragraph" w:styleId="Heading4">
    <w:name w:val="heading 4"/>
    <w:basedOn w:val="Normal"/>
    <w:next w:val="Normal"/>
    <w:pPr>
      <w:widowControl w:val="0"/>
      <w:spacing w:after="240" w:lineRule="auto"/>
    </w:pPr>
    <w:rPr/>
  </w:style>
  <w:style w:type="paragraph" w:styleId="Heading5">
    <w:name w:val="heading 5"/>
    <w:basedOn w:val="Normal"/>
    <w:next w:val="Normal"/>
    <w:pPr>
      <w:widowControl w:val="0"/>
      <w:spacing w:after="240" w:lineRule="auto"/>
    </w:pPr>
    <w:rPr/>
  </w:style>
  <w:style w:type="paragraph" w:styleId="Heading6">
    <w:name w:val="heading 6"/>
    <w:basedOn w:val="Normal"/>
    <w:next w:val="Normal"/>
    <w:pPr>
      <w:spacing w:after="240" w:lineRule="auto"/>
    </w:pPr>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acific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2Cgn7UWwHLqCQZqeofYAdx/9Qg==">CgMxLjA4AHIhMXBvRFZudzFPMmkzcnZpQmxhV2x5bGhQUi1Za3B1SndP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0x01010075379B4B5712F7469090821E1033E7F3</vt:lpwstr>
  </property>
</Properties>
</file>